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69" w:rsidRDefault="00EC5F69" w:rsidP="00EC5F69">
      <w:pPr>
        <w:jc w:val="both"/>
      </w:pPr>
      <w:r>
        <w:rPr>
          <w:noProof/>
          <w:lang w:val="en-GB" w:eastAsia="en-GB"/>
        </w:rPr>
        <w:drawing>
          <wp:inline distT="0" distB="0" distL="0" distR="0" wp14:anchorId="1BB6CA34" wp14:editId="4E77FF03">
            <wp:extent cx="758825" cy="758825"/>
            <wp:effectExtent l="0" t="0" r="3175" b="3175"/>
            <wp:docPr id="2" name="Picture 1"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p w:rsidR="00EC5F69" w:rsidRDefault="00EC5F69" w:rsidP="00EC5F69">
      <w:pPr>
        <w:jc w:val="both"/>
      </w:pPr>
    </w:p>
    <w:p w:rsidR="00EC5F69" w:rsidRPr="00EC5F69" w:rsidRDefault="00EC5F69" w:rsidP="00EC5F69">
      <w:pPr>
        <w:spacing w:after="0" w:line="240" w:lineRule="auto"/>
        <w:jc w:val="both"/>
        <w:rPr>
          <w:rFonts w:ascii="Century Gothic" w:hAnsi="Century Gothic"/>
          <w:b/>
          <w:color w:val="1F4E79" w:themeColor="accent1" w:themeShade="80"/>
          <w:sz w:val="44"/>
          <w:szCs w:val="44"/>
        </w:rPr>
      </w:pPr>
      <w:bookmarkStart w:id="0" w:name="_GoBack"/>
      <w:r w:rsidRPr="00EC5F69">
        <w:rPr>
          <w:rFonts w:ascii="Century Gothic" w:hAnsi="Century Gothic"/>
          <w:b/>
          <w:color w:val="1F4E79" w:themeColor="accent1" w:themeShade="80"/>
          <w:sz w:val="44"/>
          <w:szCs w:val="44"/>
        </w:rPr>
        <w:t>MEGAWATTS NIGERIA LIMITED V. REGISTERED TRUSTEES OF GBAGADA PHASE II RESIDENTS’ ASSOCIATION – A CASE REVIEW &amp; THE POSSIBLE IMPLICATIONS ON ESTATE RESIDENTS.</w:t>
      </w:r>
    </w:p>
    <w:bookmarkEnd w:id="0"/>
    <w:p w:rsidR="00EC5F69" w:rsidRPr="003C6864" w:rsidRDefault="00EC5F69" w:rsidP="00EC5F69">
      <w:pPr>
        <w:jc w:val="both"/>
        <w:rPr>
          <w:rFonts w:ascii="Century Gothic" w:hAnsi="Century Gothic"/>
          <w:sz w:val="24"/>
          <w:szCs w:val="24"/>
        </w:rPr>
      </w:pPr>
      <w:r>
        <w:rPr>
          <w:rFonts w:ascii="Century Gothic" w:eastAsia="Century Gothic" w:hAnsi="Century Gothic" w:cs="Century Gothic"/>
          <w:color w:val="1F4E79"/>
          <w:sz w:val="191"/>
          <w:szCs w:val="191"/>
          <w:vertAlign w:val="subscript"/>
        </w:rPr>
        <w:t>A</w:t>
      </w:r>
      <w:r w:rsidRPr="003C6864">
        <w:rPr>
          <w:rFonts w:ascii="Century Gothic" w:hAnsi="Century Gothic"/>
          <w:sz w:val="24"/>
          <w:szCs w:val="24"/>
        </w:rPr>
        <w:t>s a form of strategy for the co-ordination o</w:t>
      </w:r>
      <w:r>
        <w:rPr>
          <w:rFonts w:ascii="Century Gothic" w:hAnsi="Century Gothic"/>
          <w:sz w:val="24"/>
          <w:szCs w:val="24"/>
        </w:rPr>
        <w:t xml:space="preserve">f monetary liability for shared </w:t>
      </w:r>
      <w:r w:rsidRPr="003C6864">
        <w:rPr>
          <w:rFonts w:ascii="Century Gothic" w:hAnsi="Century Gothic"/>
          <w:sz w:val="24"/>
          <w:szCs w:val="24"/>
        </w:rPr>
        <w:t>utilities such as power, waste management, security etc. and overall maintenance of estate’s facility, it is not unusual for developers of residential estates and residential communities alike to make membership of estate associations mandatory for residents.  As a matter of fact, residents by virtue of their living in the</w:t>
      </w:r>
      <w:r>
        <w:rPr>
          <w:rFonts w:ascii="Century Gothic" w:hAnsi="Century Gothic"/>
          <w:sz w:val="24"/>
          <w:szCs w:val="24"/>
        </w:rPr>
        <w:t xml:space="preserve"> estates are viewed as inevitable</w:t>
      </w:r>
      <w:r w:rsidRPr="003C6864">
        <w:rPr>
          <w:rFonts w:ascii="Century Gothic" w:hAnsi="Century Gothic"/>
          <w:sz w:val="24"/>
          <w:szCs w:val="24"/>
        </w:rPr>
        <w:t xml:space="preserve"> members of the estates’ association, and are therefore liable to pay whatever dues, levies, charges or other fees imposed by the association.</w:t>
      </w:r>
    </w:p>
    <w:p w:rsidR="00EC5F69" w:rsidRDefault="00EC5F69" w:rsidP="00EC5F69">
      <w:pPr>
        <w:jc w:val="both"/>
        <w:rPr>
          <w:rFonts w:ascii="Century Gothic" w:hAnsi="Century Gothic"/>
          <w:sz w:val="24"/>
          <w:szCs w:val="24"/>
        </w:rPr>
      </w:pPr>
      <w:r w:rsidRPr="003C6864">
        <w:rPr>
          <w:rFonts w:ascii="Century Gothic" w:hAnsi="Century Gothic"/>
          <w:sz w:val="24"/>
          <w:szCs w:val="24"/>
        </w:rPr>
        <w:t xml:space="preserve">Some of the widely acclaimed objectives of these associations is that the associations are put in place to ensure the protection of the overall interest of the members of its community, preservation </w:t>
      </w:r>
      <w:r>
        <w:rPr>
          <w:rFonts w:ascii="Century Gothic" w:hAnsi="Century Gothic"/>
          <w:sz w:val="24"/>
          <w:szCs w:val="24"/>
        </w:rPr>
        <w:t xml:space="preserve">and maintenance </w:t>
      </w:r>
      <w:r w:rsidRPr="003C6864">
        <w:rPr>
          <w:rFonts w:ascii="Century Gothic" w:hAnsi="Century Gothic"/>
          <w:sz w:val="24"/>
          <w:szCs w:val="24"/>
        </w:rPr>
        <w:t xml:space="preserve">of the facilities in </w:t>
      </w:r>
      <w:r>
        <w:rPr>
          <w:rFonts w:ascii="Century Gothic" w:hAnsi="Century Gothic"/>
          <w:sz w:val="24"/>
          <w:szCs w:val="24"/>
        </w:rPr>
        <w:t>the residential community, and projects</w:t>
      </w:r>
      <w:r w:rsidRPr="003C6864">
        <w:rPr>
          <w:rFonts w:ascii="Century Gothic" w:hAnsi="Century Gothic"/>
          <w:sz w:val="24"/>
          <w:szCs w:val="24"/>
        </w:rPr>
        <w:t xml:space="preserve"> which will benefit the members of the community as a whole. </w:t>
      </w:r>
    </w:p>
    <w:p w:rsidR="00EC5F69" w:rsidRDefault="00EC5F69" w:rsidP="00EC5F69">
      <w:pPr>
        <w:jc w:val="both"/>
        <w:rPr>
          <w:rFonts w:ascii="Century Gothic" w:hAnsi="Century Gothic"/>
          <w:sz w:val="24"/>
          <w:szCs w:val="24"/>
        </w:rPr>
      </w:pPr>
      <w:r>
        <w:rPr>
          <w:rFonts w:ascii="Century Gothic" w:hAnsi="Century Gothic"/>
          <w:sz w:val="24"/>
          <w:szCs w:val="24"/>
        </w:rPr>
        <w:t xml:space="preserve">Therefore, and because whatever project the residents association embark on is for the benefit of the Estate and to be enjoyed by all the residents, the Residents Associations assume an obligatory nature translating into the imposition of estate charges on all its residents with sanctions for failure to pay. The situation endemic to Residential estates metamorphosed into a need for the Courts to interpret and </w:t>
      </w:r>
    </w:p>
    <w:p w:rsidR="00EC5F69" w:rsidRDefault="00EC5F69" w:rsidP="00EC5F69">
      <w:pPr>
        <w:jc w:val="both"/>
        <w:rPr>
          <w:rFonts w:ascii="Century Gothic" w:hAnsi="Century Gothic"/>
          <w:sz w:val="24"/>
          <w:szCs w:val="24"/>
        </w:rPr>
      </w:pPr>
    </w:p>
    <w:p w:rsidR="00EC5F69" w:rsidRPr="003C6864" w:rsidRDefault="00EC5F69" w:rsidP="00EC5F69">
      <w:pPr>
        <w:jc w:val="both"/>
        <w:rPr>
          <w:rFonts w:ascii="Century Gothic" w:hAnsi="Century Gothic"/>
          <w:sz w:val="24"/>
          <w:szCs w:val="24"/>
        </w:rPr>
      </w:pPr>
      <w:r>
        <w:rPr>
          <w:rFonts w:ascii="Century Gothic" w:hAnsi="Century Gothic"/>
          <w:sz w:val="24"/>
          <w:szCs w:val="24"/>
        </w:rPr>
        <w:t>pronounce on membership of the association in the cas</w:t>
      </w:r>
      <w:r>
        <w:rPr>
          <w:rFonts w:ascii="Century Gothic" w:hAnsi="Century Gothic"/>
          <w:sz w:val="24"/>
          <w:szCs w:val="24"/>
        </w:rPr>
        <w:t>e of Megawatts Nigeria Limited v</w:t>
      </w:r>
      <w:r>
        <w:rPr>
          <w:rFonts w:ascii="Century Gothic" w:hAnsi="Century Gothic"/>
          <w:sz w:val="24"/>
          <w:szCs w:val="24"/>
        </w:rPr>
        <w:t>. Registered Trustees of Gbagada Phase II Residents Association.</w:t>
      </w:r>
    </w:p>
    <w:p w:rsidR="00EC5F69" w:rsidRPr="00B9652D" w:rsidRDefault="00EC5F69" w:rsidP="00EC5F69">
      <w:pPr>
        <w:spacing w:after="0" w:line="240" w:lineRule="auto"/>
        <w:jc w:val="both"/>
        <w:rPr>
          <w:rFonts w:ascii="Century Gothic" w:eastAsia="Century Gothic" w:hAnsi="Century Gothic" w:cs="Century Gothic"/>
          <w:color w:val="000000"/>
        </w:rPr>
      </w:pPr>
    </w:p>
    <w:p w:rsidR="00EC5F69" w:rsidRDefault="00EC5F69" w:rsidP="00EC5F69">
      <w:pPr>
        <w:pBdr>
          <w:top w:val="nil"/>
          <w:left w:val="nil"/>
          <w:bottom w:val="nil"/>
          <w:right w:val="nil"/>
          <w:between w:val="nil"/>
        </w:pBdr>
        <w:spacing w:after="0" w:line="240" w:lineRule="auto"/>
        <w:jc w:val="both"/>
        <w:rPr>
          <w:rFonts w:ascii="Century Gothic" w:eastAsia="Century Gothic" w:hAnsi="Century Gothic" w:cs="Century Gothic"/>
          <w:color w:val="000000"/>
        </w:rPr>
      </w:pPr>
    </w:p>
    <w:p w:rsidR="00EC5F69" w:rsidRDefault="00EC5F69" w:rsidP="00EC5F69">
      <w:pPr>
        <w:jc w:val="both"/>
        <w:rPr>
          <w:rFonts w:ascii="Century Gothic" w:eastAsia="Century Gothic" w:hAnsi="Century Gothic" w:cs="Century Gothic"/>
          <w:b/>
          <w:color w:val="444444"/>
          <w:sz w:val="28"/>
          <w:szCs w:val="28"/>
          <w:shd w:val="clear" w:color="auto" w:fill="F9F9F9"/>
        </w:rPr>
      </w:pPr>
      <w:r>
        <w:rPr>
          <w:rFonts w:ascii="Century Gothic" w:eastAsia="Century Gothic" w:hAnsi="Century Gothic" w:cs="Century Gothic"/>
          <w:b/>
          <w:color w:val="444444"/>
          <w:sz w:val="28"/>
          <w:szCs w:val="28"/>
          <w:shd w:val="clear" w:color="auto" w:fill="F9F9F9"/>
        </w:rPr>
        <w:t xml:space="preserve">SUMMARY OF THE FACTS </w:t>
      </w:r>
    </w:p>
    <w:p w:rsidR="00DE7155" w:rsidRPr="003C6864" w:rsidRDefault="00DE7155" w:rsidP="00DE7155">
      <w:pPr>
        <w:jc w:val="both"/>
        <w:rPr>
          <w:rFonts w:ascii="Century Gothic" w:hAnsi="Century Gothic"/>
          <w:sz w:val="24"/>
          <w:szCs w:val="24"/>
        </w:rPr>
      </w:pPr>
      <w:r w:rsidRPr="003C6864">
        <w:rPr>
          <w:rFonts w:ascii="Century Gothic" w:hAnsi="Century Gothic"/>
          <w:sz w:val="24"/>
          <w:szCs w:val="24"/>
        </w:rPr>
        <w:t xml:space="preserve">The suit was filed by Megawatts Nigeria Limited </w:t>
      </w:r>
      <w:r>
        <w:rPr>
          <w:rFonts w:ascii="Century Gothic" w:hAnsi="Century Gothic"/>
          <w:sz w:val="24"/>
          <w:szCs w:val="24"/>
        </w:rPr>
        <w:t xml:space="preserve">(Applicant) </w:t>
      </w:r>
      <w:r w:rsidRPr="003C6864">
        <w:rPr>
          <w:rFonts w:ascii="Century Gothic" w:hAnsi="Century Gothic"/>
          <w:sz w:val="24"/>
          <w:szCs w:val="24"/>
        </w:rPr>
        <w:t>against the Registered Trustees of Gbagada Phase II Residents’ Association</w:t>
      </w:r>
      <w:r>
        <w:rPr>
          <w:rFonts w:ascii="Century Gothic" w:hAnsi="Century Gothic"/>
          <w:sz w:val="24"/>
          <w:szCs w:val="24"/>
        </w:rPr>
        <w:t xml:space="preserve"> (Respondents). The Respondents</w:t>
      </w:r>
      <w:r w:rsidRPr="003C6864">
        <w:rPr>
          <w:rFonts w:ascii="Century Gothic" w:hAnsi="Century Gothic"/>
          <w:sz w:val="24"/>
          <w:szCs w:val="24"/>
        </w:rPr>
        <w:t xml:space="preserve"> had been sendin</w:t>
      </w:r>
      <w:r>
        <w:rPr>
          <w:rFonts w:ascii="Century Gothic" w:hAnsi="Century Gothic"/>
          <w:sz w:val="24"/>
          <w:szCs w:val="24"/>
        </w:rPr>
        <w:t>g notices requesting the Applicant</w:t>
      </w:r>
      <w:r w:rsidRPr="003C6864">
        <w:rPr>
          <w:rFonts w:ascii="Century Gothic" w:hAnsi="Century Gothic"/>
          <w:sz w:val="24"/>
          <w:szCs w:val="24"/>
        </w:rPr>
        <w:t xml:space="preserve"> to pay its estate dues from 2017 – 2020 holding the position that by vir</w:t>
      </w:r>
      <w:r>
        <w:rPr>
          <w:rFonts w:ascii="Century Gothic" w:hAnsi="Century Gothic"/>
          <w:sz w:val="24"/>
          <w:szCs w:val="24"/>
        </w:rPr>
        <w:t>tue of the fact that the Applicant</w:t>
      </w:r>
      <w:r w:rsidRPr="003C6864">
        <w:rPr>
          <w:rFonts w:ascii="Century Gothic" w:hAnsi="Century Gothic"/>
          <w:sz w:val="24"/>
          <w:szCs w:val="24"/>
        </w:rPr>
        <w:t xml:space="preserve"> is resident within the estate, it is bound to pay the demanded sum.</w:t>
      </w:r>
    </w:p>
    <w:p w:rsidR="00DE7155" w:rsidRPr="003C6864" w:rsidRDefault="00DE7155" w:rsidP="00DE7155">
      <w:pPr>
        <w:jc w:val="both"/>
        <w:rPr>
          <w:rFonts w:ascii="Century Gothic" w:hAnsi="Century Gothic"/>
          <w:sz w:val="24"/>
          <w:szCs w:val="24"/>
        </w:rPr>
      </w:pPr>
      <w:r>
        <w:rPr>
          <w:rFonts w:ascii="Century Gothic" w:hAnsi="Century Gothic"/>
          <w:sz w:val="24"/>
          <w:szCs w:val="24"/>
        </w:rPr>
        <w:t>The Applicant</w:t>
      </w:r>
      <w:r w:rsidRPr="003C6864">
        <w:rPr>
          <w:rFonts w:ascii="Century Gothic" w:hAnsi="Century Gothic"/>
          <w:sz w:val="24"/>
          <w:szCs w:val="24"/>
        </w:rPr>
        <w:t xml:space="preserve"> however</w:t>
      </w:r>
      <w:r>
        <w:rPr>
          <w:rFonts w:ascii="Century Gothic" w:hAnsi="Century Gothic"/>
          <w:sz w:val="24"/>
          <w:szCs w:val="24"/>
        </w:rPr>
        <w:t>,</w:t>
      </w:r>
      <w:r w:rsidRPr="003C6864">
        <w:rPr>
          <w:rFonts w:ascii="Century Gothic" w:hAnsi="Century Gothic"/>
          <w:sz w:val="24"/>
          <w:szCs w:val="24"/>
        </w:rPr>
        <w:t xml:space="preserve"> argued that since it provides for its own security and waste management and other services, it is not bound to pay the demanded estate</w:t>
      </w:r>
      <w:r>
        <w:rPr>
          <w:rFonts w:ascii="Century Gothic" w:hAnsi="Century Gothic"/>
          <w:sz w:val="24"/>
          <w:szCs w:val="24"/>
        </w:rPr>
        <w:t xml:space="preserve"> dues, more so because the Applicant</w:t>
      </w:r>
      <w:r w:rsidRPr="003C6864">
        <w:rPr>
          <w:rFonts w:ascii="Century Gothic" w:hAnsi="Century Gothic"/>
          <w:sz w:val="24"/>
          <w:szCs w:val="24"/>
        </w:rPr>
        <w:t xml:space="preserve"> is not a </w:t>
      </w:r>
      <w:r>
        <w:rPr>
          <w:rFonts w:ascii="Century Gothic" w:hAnsi="Century Gothic"/>
          <w:sz w:val="24"/>
          <w:szCs w:val="24"/>
        </w:rPr>
        <w:t>member of the Respondent’s association</w:t>
      </w:r>
      <w:r w:rsidRPr="003C6864">
        <w:rPr>
          <w:rFonts w:ascii="Century Gothic" w:hAnsi="Century Gothic"/>
          <w:sz w:val="24"/>
          <w:szCs w:val="24"/>
        </w:rPr>
        <w:t>.</w:t>
      </w:r>
    </w:p>
    <w:p w:rsidR="00DE7155" w:rsidRPr="003C6864" w:rsidRDefault="00DE7155" w:rsidP="00DE7155">
      <w:pPr>
        <w:jc w:val="both"/>
        <w:rPr>
          <w:rFonts w:ascii="Century Gothic" w:hAnsi="Century Gothic"/>
          <w:sz w:val="24"/>
          <w:szCs w:val="24"/>
        </w:rPr>
      </w:pPr>
      <w:r>
        <w:rPr>
          <w:rFonts w:ascii="Century Gothic" w:hAnsi="Century Gothic"/>
          <w:sz w:val="24"/>
          <w:szCs w:val="24"/>
        </w:rPr>
        <w:t>The Respondent</w:t>
      </w:r>
      <w:r w:rsidRPr="003C6864">
        <w:rPr>
          <w:rFonts w:ascii="Century Gothic" w:hAnsi="Century Gothic"/>
          <w:sz w:val="24"/>
          <w:szCs w:val="24"/>
        </w:rPr>
        <w:t xml:space="preserve"> on the ot</w:t>
      </w:r>
      <w:r>
        <w:rPr>
          <w:rFonts w:ascii="Century Gothic" w:hAnsi="Century Gothic"/>
          <w:sz w:val="24"/>
          <w:szCs w:val="24"/>
        </w:rPr>
        <w:t>her hand argued that by</w:t>
      </w:r>
      <w:r w:rsidRPr="003C6864">
        <w:rPr>
          <w:rFonts w:ascii="Century Gothic" w:hAnsi="Century Gothic"/>
          <w:sz w:val="24"/>
          <w:szCs w:val="24"/>
        </w:rPr>
        <w:t xml:space="preserve"> having its office within the estate, </w:t>
      </w:r>
      <w:r>
        <w:rPr>
          <w:rFonts w:ascii="Century Gothic" w:hAnsi="Century Gothic"/>
          <w:sz w:val="24"/>
          <w:szCs w:val="24"/>
        </w:rPr>
        <w:t xml:space="preserve">the Applicant </w:t>
      </w:r>
      <w:r w:rsidRPr="003C6864">
        <w:rPr>
          <w:rFonts w:ascii="Century Gothic" w:hAnsi="Century Gothic"/>
          <w:sz w:val="24"/>
          <w:szCs w:val="24"/>
        </w:rPr>
        <w:t xml:space="preserve">is a member of the association and bound to pay the demanded sum </w:t>
      </w:r>
      <w:r>
        <w:rPr>
          <w:rFonts w:ascii="Century Gothic" w:hAnsi="Century Gothic"/>
          <w:sz w:val="24"/>
          <w:szCs w:val="24"/>
        </w:rPr>
        <w:t>which is</w:t>
      </w:r>
      <w:r w:rsidRPr="003C6864">
        <w:rPr>
          <w:rFonts w:ascii="Century Gothic" w:hAnsi="Century Gothic"/>
          <w:sz w:val="24"/>
          <w:szCs w:val="24"/>
        </w:rPr>
        <w:t xml:space="preserve"> used for the maintenance of the estate.</w:t>
      </w:r>
      <w:r>
        <w:rPr>
          <w:rFonts w:ascii="Century Gothic" w:hAnsi="Century Gothic"/>
          <w:sz w:val="24"/>
          <w:szCs w:val="24"/>
        </w:rPr>
        <w:t xml:space="preserve"> The Respondent further restricted the ingress of the Applicant and its Agents to the estate.</w:t>
      </w:r>
    </w:p>
    <w:p w:rsidR="00DE7155" w:rsidRPr="003C6864" w:rsidRDefault="00DE7155" w:rsidP="00DE7155">
      <w:pPr>
        <w:jc w:val="both"/>
        <w:rPr>
          <w:rFonts w:ascii="Century Gothic" w:hAnsi="Century Gothic"/>
          <w:sz w:val="24"/>
          <w:szCs w:val="24"/>
        </w:rPr>
      </w:pPr>
      <w:r>
        <w:rPr>
          <w:rFonts w:ascii="Century Gothic" w:hAnsi="Century Gothic"/>
          <w:sz w:val="24"/>
          <w:szCs w:val="24"/>
        </w:rPr>
        <w:t>On the basis of the harassment, coercion and restriction of free movement of the Applicant’s, the Applicant instituted an action under the Enforcement of Fundamental Rights Procedure</w:t>
      </w:r>
      <w:r w:rsidRPr="003C6864">
        <w:rPr>
          <w:rFonts w:ascii="Century Gothic" w:hAnsi="Century Gothic"/>
          <w:sz w:val="24"/>
          <w:szCs w:val="24"/>
        </w:rPr>
        <w:t xml:space="preserve"> seeking amongst other things, the following reliefs:</w:t>
      </w:r>
    </w:p>
    <w:p w:rsidR="00DE7155" w:rsidRPr="003C6864" w:rsidRDefault="00DE7155" w:rsidP="00DE7155">
      <w:pPr>
        <w:pStyle w:val="ListParagraph"/>
        <w:numPr>
          <w:ilvl w:val="0"/>
          <w:numId w:val="7"/>
        </w:numPr>
        <w:jc w:val="both"/>
        <w:rPr>
          <w:rFonts w:ascii="Century Gothic" w:hAnsi="Century Gothic"/>
          <w:sz w:val="24"/>
          <w:szCs w:val="24"/>
        </w:rPr>
      </w:pPr>
      <w:r w:rsidRPr="003C6864">
        <w:rPr>
          <w:rFonts w:ascii="Century Gothic" w:hAnsi="Century Gothic"/>
          <w:sz w:val="24"/>
          <w:szCs w:val="24"/>
        </w:rPr>
        <w:t>A declaration that it is not a member of the association and cannot be compelled to join;</w:t>
      </w:r>
    </w:p>
    <w:p w:rsidR="00DE7155" w:rsidRPr="003C6864" w:rsidRDefault="00DE7155" w:rsidP="00DE7155">
      <w:pPr>
        <w:pStyle w:val="ListParagraph"/>
        <w:jc w:val="both"/>
        <w:rPr>
          <w:rFonts w:ascii="Century Gothic" w:hAnsi="Century Gothic"/>
          <w:sz w:val="24"/>
          <w:szCs w:val="24"/>
        </w:rPr>
      </w:pPr>
    </w:p>
    <w:p w:rsidR="00DE7155" w:rsidRDefault="00DE7155" w:rsidP="00DE7155">
      <w:pPr>
        <w:pStyle w:val="ListParagraph"/>
        <w:numPr>
          <w:ilvl w:val="0"/>
          <w:numId w:val="7"/>
        </w:numPr>
        <w:jc w:val="both"/>
        <w:rPr>
          <w:rFonts w:ascii="Century Gothic" w:hAnsi="Century Gothic"/>
          <w:sz w:val="24"/>
          <w:szCs w:val="24"/>
        </w:rPr>
      </w:pPr>
      <w:r w:rsidRPr="003C6864">
        <w:rPr>
          <w:rFonts w:ascii="Century Gothic" w:hAnsi="Century Gothic"/>
          <w:sz w:val="24"/>
          <w:szCs w:val="24"/>
        </w:rPr>
        <w:t>A declaration that compelling residents of Gbagada Phase II to be members of the association is unconstitutional</w:t>
      </w:r>
      <w:r>
        <w:rPr>
          <w:rFonts w:ascii="Century Gothic" w:hAnsi="Century Gothic"/>
          <w:sz w:val="24"/>
          <w:szCs w:val="24"/>
        </w:rPr>
        <w:t>;</w:t>
      </w:r>
    </w:p>
    <w:p w:rsidR="00DE7155" w:rsidRPr="00F04E14" w:rsidRDefault="00DE7155" w:rsidP="00DE7155">
      <w:pPr>
        <w:pStyle w:val="ListParagraph"/>
        <w:jc w:val="both"/>
        <w:rPr>
          <w:rFonts w:ascii="Century Gothic" w:hAnsi="Century Gothic"/>
          <w:sz w:val="24"/>
          <w:szCs w:val="24"/>
        </w:rPr>
      </w:pPr>
    </w:p>
    <w:p w:rsidR="00DE7155" w:rsidRPr="003C6864" w:rsidRDefault="00DE7155" w:rsidP="00DE7155">
      <w:pPr>
        <w:jc w:val="both"/>
        <w:rPr>
          <w:rFonts w:ascii="Century Gothic" w:hAnsi="Century Gothic"/>
          <w:sz w:val="24"/>
          <w:szCs w:val="24"/>
        </w:rPr>
      </w:pPr>
      <w:r w:rsidRPr="003C6864">
        <w:rPr>
          <w:rFonts w:ascii="Century Gothic" w:hAnsi="Century Gothic"/>
          <w:sz w:val="24"/>
          <w:szCs w:val="24"/>
        </w:rPr>
        <w:t>The major issue before the Federal High Court, Lagos was whether a person, resident in an estate, can be compelled into membership of a resident association?</w:t>
      </w:r>
    </w:p>
    <w:p w:rsidR="00DE7155" w:rsidRPr="003C6864" w:rsidRDefault="00DE7155" w:rsidP="00DE7155">
      <w:pPr>
        <w:jc w:val="both"/>
        <w:rPr>
          <w:rFonts w:ascii="Century Gothic" w:hAnsi="Century Gothic"/>
          <w:sz w:val="24"/>
          <w:szCs w:val="24"/>
        </w:rPr>
      </w:pPr>
      <w:r w:rsidRPr="003C6864">
        <w:rPr>
          <w:rFonts w:ascii="Century Gothic" w:hAnsi="Century Gothic"/>
          <w:sz w:val="24"/>
          <w:szCs w:val="24"/>
        </w:rPr>
        <w:t>The court ruled in favour of Megawatts Nigeria Ltd and awarded cost against Gbagada Phase II Residents Association.</w:t>
      </w:r>
    </w:p>
    <w:p w:rsidR="00DE7155" w:rsidRDefault="00DE7155" w:rsidP="00DE7155">
      <w:pPr>
        <w:jc w:val="both"/>
        <w:rPr>
          <w:rFonts w:ascii="Century Gothic" w:hAnsi="Century Gothic"/>
          <w:sz w:val="24"/>
          <w:szCs w:val="24"/>
        </w:rPr>
      </w:pPr>
    </w:p>
    <w:p w:rsidR="00DE7155" w:rsidRDefault="00DE7155" w:rsidP="00DE7155">
      <w:pPr>
        <w:jc w:val="both"/>
        <w:rPr>
          <w:rFonts w:ascii="Century Gothic" w:hAnsi="Century Gothic"/>
          <w:sz w:val="24"/>
          <w:szCs w:val="24"/>
        </w:rPr>
      </w:pPr>
    </w:p>
    <w:p w:rsidR="00DE7155" w:rsidRDefault="00DE7155" w:rsidP="00DE7155">
      <w:pPr>
        <w:jc w:val="both"/>
        <w:rPr>
          <w:rFonts w:ascii="Century Gothic" w:hAnsi="Century Gothic"/>
          <w:sz w:val="24"/>
          <w:szCs w:val="24"/>
        </w:rPr>
      </w:pPr>
    </w:p>
    <w:p w:rsidR="00DE7155" w:rsidRDefault="00DE7155" w:rsidP="00DE7155">
      <w:pPr>
        <w:jc w:val="both"/>
        <w:rPr>
          <w:rFonts w:ascii="Century Gothic" w:hAnsi="Century Gothic"/>
          <w:sz w:val="24"/>
          <w:szCs w:val="24"/>
        </w:rPr>
      </w:pPr>
      <w:r w:rsidRPr="003C6864">
        <w:rPr>
          <w:rFonts w:ascii="Century Gothic" w:hAnsi="Century Gothic"/>
          <w:sz w:val="24"/>
          <w:szCs w:val="24"/>
        </w:rPr>
        <w:t>The court further declared that no one can be forced to be a member of a residential association, be it a company operating within the space of the residential estate or a person who is a resident in that estate.</w:t>
      </w:r>
    </w:p>
    <w:p w:rsidR="00DE7155" w:rsidRPr="003C6864" w:rsidRDefault="00DE7155" w:rsidP="00DE7155">
      <w:pPr>
        <w:jc w:val="both"/>
        <w:rPr>
          <w:rFonts w:ascii="Century Gothic" w:hAnsi="Century Gothic"/>
          <w:sz w:val="24"/>
          <w:szCs w:val="24"/>
        </w:rPr>
      </w:pPr>
    </w:p>
    <w:p w:rsidR="00DE7155" w:rsidRPr="003C6864" w:rsidRDefault="00DE7155" w:rsidP="00DE7155">
      <w:pPr>
        <w:jc w:val="both"/>
        <w:rPr>
          <w:rFonts w:ascii="Century Gothic" w:hAnsi="Century Gothic"/>
          <w:b/>
          <w:sz w:val="24"/>
          <w:szCs w:val="24"/>
        </w:rPr>
      </w:pPr>
      <w:r>
        <w:rPr>
          <w:rFonts w:ascii="Century Gothic" w:eastAsia="Century Gothic" w:hAnsi="Century Gothic" w:cs="Century Gothic"/>
          <w:b/>
          <w:color w:val="444444"/>
          <w:sz w:val="28"/>
          <w:szCs w:val="28"/>
          <w:shd w:val="clear" w:color="auto" w:fill="F9F9F9"/>
        </w:rPr>
        <w:t>RATIO DECIDENDI</w:t>
      </w:r>
    </w:p>
    <w:p w:rsidR="00DE7155" w:rsidRPr="003C6864" w:rsidRDefault="00DE7155" w:rsidP="00DE7155">
      <w:pPr>
        <w:jc w:val="both"/>
        <w:rPr>
          <w:rFonts w:ascii="Century Gothic" w:hAnsi="Century Gothic"/>
          <w:sz w:val="24"/>
          <w:szCs w:val="24"/>
        </w:rPr>
      </w:pPr>
      <w:r>
        <w:rPr>
          <w:rFonts w:ascii="Century Gothic" w:hAnsi="Century Gothic"/>
          <w:sz w:val="24"/>
          <w:szCs w:val="24"/>
        </w:rPr>
        <w:t>In reaching its decision</w:t>
      </w:r>
      <w:r w:rsidRPr="003C6864">
        <w:rPr>
          <w:rFonts w:ascii="Century Gothic" w:hAnsi="Century Gothic"/>
          <w:sz w:val="24"/>
          <w:szCs w:val="24"/>
        </w:rPr>
        <w:t>, the court, presided by Justice Oweibo, considered the provisio</w:t>
      </w:r>
      <w:r>
        <w:rPr>
          <w:rFonts w:ascii="Century Gothic" w:hAnsi="Century Gothic"/>
          <w:sz w:val="24"/>
          <w:szCs w:val="24"/>
        </w:rPr>
        <w:t>ns of Section 40 of the Constitution of the Federal Republic of Nigeria</w:t>
      </w:r>
      <w:r w:rsidRPr="003C6864">
        <w:rPr>
          <w:rFonts w:ascii="Century Gothic" w:hAnsi="Century Gothic"/>
          <w:sz w:val="24"/>
          <w:szCs w:val="24"/>
        </w:rPr>
        <w:t xml:space="preserve"> </w:t>
      </w:r>
      <w:r>
        <w:rPr>
          <w:rFonts w:ascii="Century Gothic" w:hAnsi="Century Gothic"/>
          <w:sz w:val="24"/>
          <w:szCs w:val="24"/>
        </w:rPr>
        <w:t>(</w:t>
      </w:r>
      <w:r w:rsidRPr="003C6864">
        <w:rPr>
          <w:rFonts w:ascii="Century Gothic" w:hAnsi="Century Gothic"/>
          <w:sz w:val="24"/>
          <w:szCs w:val="24"/>
        </w:rPr>
        <w:t>as Amended</w:t>
      </w:r>
      <w:r>
        <w:rPr>
          <w:rFonts w:ascii="Century Gothic" w:hAnsi="Century Gothic"/>
          <w:sz w:val="24"/>
          <w:szCs w:val="24"/>
        </w:rPr>
        <w:t>)</w:t>
      </w:r>
      <w:r w:rsidRPr="003C6864">
        <w:rPr>
          <w:rFonts w:ascii="Century Gothic" w:hAnsi="Century Gothic"/>
          <w:sz w:val="24"/>
          <w:szCs w:val="24"/>
        </w:rPr>
        <w:t xml:space="preserve"> which states that:</w:t>
      </w:r>
    </w:p>
    <w:p w:rsidR="00DE7155" w:rsidRPr="003C6864" w:rsidRDefault="00DE7155" w:rsidP="00DE7155">
      <w:pPr>
        <w:jc w:val="both"/>
        <w:rPr>
          <w:rFonts w:ascii="Century Gothic" w:hAnsi="Century Gothic"/>
          <w:i/>
          <w:sz w:val="24"/>
          <w:szCs w:val="24"/>
        </w:rPr>
      </w:pPr>
      <w:r w:rsidRPr="003C6864">
        <w:rPr>
          <w:rFonts w:ascii="Century Gothic" w:hAnsi="Century Gothic"/>
          <w:sz w:val="24"/>
          <w:szCs w:val="24"/>
        </w:rPr>
        <w:t xml:space="preserve"> </w:t>
      </w:r>
      <w:r w:rsidRPr="003C6864">
        <w:rPr>
          <w:rFonts w:ascii="Century Gothic" w:hAnsi="Century Gothic"/>
          <w:i/>
          <w:sz w:val="24"/>
          <w:szCs w:val="24"/>
        </w:rPr>
        <w:t>“Every person shall be entitled to assemble freely and associate with other persons, and in particular he may form or belong to any political party, trade union or any other association for the protection of his interests…”</w:t>
      </w:r>
    </w:p>
    <w:p w:rsidR="00DE7155" w:rsidRPr="003C6864" w:rsidRDefault="00DE7155" w:rsidP="00DE7155">
      <w:pPr>
        <w:jc w:val="both"/>
        <w:rPr>
          <w:rFonts w:ascii="Century Gothic" w:hAnsi="Century Gothic"/>
          <w:sz w:val="24"/>
          <w:szCs w:val="24"/>
        </w:rPr>
      </w:pPr>
      <w:r w:rsidRPr="003C6864">
        <w:rPr>
          <w:rFonts w:ascii="Century Gothic" w:hAnsi="Century Gothic"/>
          <w:sz w:val="24"/>
          <w:szCs w:val="24"/>
        </w:rPr>
        <w:t xml:space="preserve">The court also considered the Supreme Court’s decision in </w:t>
      </w:r>
      <w:proofErr w:type="spellStart"/>
      <w:r w:rsidRPr="003C6864">
        <w:rPr>
          <w:rFonts w:ascii="Century Gothic" w:hAnsi="Century Gothic"/>
          <w:b/>
          <w:sz w:val="24"/>
          <w:szCs w:val="24"/>
        </w:rPr>
        <w:t>Agbai</w:t>
      </w:r>
      <w:proofErr w:type="spellEnd"/>
      <w:r w:rsidRPr="003C6864">
        <w:rPr>
          <w:rFonts w:ascii="Century Gothic" w:hAnsi="Century Gothic"/>
          <w:b/>
          <w:sz w:val="24"/>
          <w:szCs w:val="24"/>
        </w:rPr>
        <w:t xml:space="preserve"> &amp; </w:t>
      </w:r>
      <w:proofErr w:type="spellStart"/>
      <w:r w:rsidRPr="003C6864">
        <w:rPr>
          <w:rFonts w:ascii="Century Gothic" w:hAnsi="Century Gothic"/>
          <w:b/>
          <w:sz w:val="24"/>
          <w:szCs w:val="24"/>
        </w:rPr>
        <w:t>Ors</w:t>
      </w:r>
      <w:proofErr w:type="spellEnd"/>
      <w:r w:rsidRPr="003C6864">
        <w:rPr>
          <w:rFonts w:ascii="Century Gothic" w:hAnsi="Century Gothic"/>
          <w:b/>
          <w:sz w:val="24"/>
          <w:szCs w:val="24"/>
        </w:rPr>
        <w:t xml:space="preserve">. </w:t>
      </w:r>
      <w:proofErr w:type="gramStart"/>
      <w:r w:rsidRPr="003C6864">
        <w:rPr>
          <w:rFonts w:ascii="Century Gothic" w:hAnsi="Century Gothic"/>
          <w:b/>
          <w:sz w:val="24"/>
          <w:szCs w:val="24"/>
        </w:rPr>
        <w:t>v</w:t>
      </w:r>
      <w:proofErr w:type="gramEnd"/>
      <w:r w:rsidRPr="003C6864">
        <w:rPr>
          <w:rFonts w:ascii="Century Gothic" w:hAnsi="Century Gothic"/>
          <w:b/>
          <w:sz w:val="24"/>
          <w:szCs w:val="24"/>
        </w:rPr>
        <w:t xml:space="preserve">. </w:t>
      </w:r>
      <w:proofErr w:type="spellStart"/>
      <w:r w:rsidRPr="003C6864">
        <w:rPr>
          <w:rFonts w:ascii="Century Gothic" w:hAnsi="Century Gothic"/>
          <w:b/>
          <w:sz w:val="24"/>
          <w:szCs w:val="24"/>
        </w:rPr>
        <w:t>Okagbue</w:t>
      </w:r>
      <w:proofErr w:type="spellEnd"/>
      <w:r>
        <w:rPr>
          <w:rFonts w:ascii="Century Gothic" w:hAnsi="Century Gothic"/>
          <w:b/>
          <w:sz w:val="24"/>
          <w:szCs w:val="24"/>
        </w:rPr>
        <w:t xml:space="preserve"> (1991) LPELR-225 (SC)</w:t>
      </w:r>
      <w:r>
        <w:rPr>
          <w:rFonts w:ascii="Century Gothic" w:hAnsi="Century Gothic"/>
          <w:sz w:val="24"/>
          <w:szCs w:val="24"/>
        </w:rPr>
        <w:t xml:space="preserve">, </w:t>
      </w:r>
      <w:r w:rsidRPr="003C6864">
        <w:rPr>
          <w:rFonts w:ascii="Century Gothic" w:hAnsi="Century Gothic"/>
          <w:sz w:val="24"/>
          <w:szCs w:val="24"/>
        </w:rPr>
        <w:t>and held that where a person voluntarily becomes a member of an association, the person cannot complain against the custom of the association. However, where a person is presumably a member of an association by operation of an alleged custom, he cannot be compelled to abide by the customs of the association against his will</w:t>
      </w:r>
      <w:r w:rsidRPr="003C6864">
        <w:rPr>
          <w:rFonts w:ascii="Century Gothic" w:hAnsi="Century Gothic"/>
          <w:sz w:val="24"/>
          <w:szCs w:val="24"/>
          <w:u w:val="single"/>
        </w:rPr>
        <w:t>,</w:t>
      </w:r>
      <w:r w:rsidRPr="003C6864">
        <w:rPr>
          <w:rFonts w:ascii="Century Gothic" w:hAnsi="Century Gothic"/>
          <w:sz w:val="24"/>
          <w:szCs w:val="24"/>
        </w:rPr>
        <w:t xml:space="preserve"> as that would be unconstitutional. </w:t>
      </w:r>
    </w:p>
    <w:p w:rsidR="00DE7155" w:rsidRDefault="00DE7155" w:rsidP="00DE7155">
      <w:pPr>
        <w:jc w:val="both"/>
        <w:rPr>
          <w:rFonts w:ascii="Century Gothic" w:hAnsi="Century Gothic"/>
          <w:sz w:val="24"/>
          <w:szCs w:val="24"/>
        </w:rPr>
      </w:pPr>
      <w:r w:rsidRPr="003C6864">
        <w:rPr>
          <w:rFonts w:ascii="Century Gothic" w:hAnsi="Century Gothic"/>
          <w:sz w:val="24"/>
          <w:szCs w:val="24"/>
        </w:rPr>
        <w:t>Thus, the court declared that the act of the association coercing the company into becoming its member is illegal and unconstitutional.</w:t>
      </w:r>
    </w:p>
    <w:p w:rsidR="00DE7155" w:rsidRPr="003C6864" w:rsidRDefault="00DE7155" w:rsidP="00DE7155">
      <w:pPr>
        <w:jc w:val="both"/>
        <w:rPr>
          <w:rFonts w:ascii="Century Gothic" w:hAnsi="Century Gothic"/>
          <w:sz w:val="24"/>
          <w:szCs w:val="24"/>
        </w:rPr>
      </w:pPr>
    </w:p>
    <w:p w:rsidR="00DE7155" w:rsidRDefault="00DE7155" w:rsidP="00DE7155">
      <w:pPr>
        <w:jc w:val="both"/>
        <w:rPr>
          <w:rFonts w:ascii="Century Gothic" w:eastAsia="Century Gothic" w:hAnsi="Century Gothic" w:cs="Century Gothic"/>
          <w:b/>
          <w:color w:val="444444"/>
          <w:sz w:val="28"/>
          <w:szCs w:val="28"/>
          <w:shd w:val="clear" w:color="auto" w:fill="F9F9F9"/>
        </w:rPr>
      </w:pPr>
      <w:r>
        <w:rPr>
          <w:rFonts w:ascii="Century Gothic" w:eastAsia="Century Gothic" w:hAnsi="Century Gothic" w:cs="Century Gothic"/>
          <w:b/>
          <w:color w:val="444444"/>
          <w:sz w:val="28"/>
          <w:szCs w:val="28"/>
          <w:shd w:val="clear" w:color="auto" w:fill="F9F9F9"/>
        </w:rPr>
        <w:t xml:space="preserve">POSSIBLE IMPLICATIONS OF THE DECISION </w:t>
      </w:r>
    </w:p>
    <w:p w:rsidR="00DE7155" w:rsidRPr="003C6864" w:rsidRDefault="00DE7155" w:rsidP="00DE7155">
      <w:pPr>
        <w:jc w:val="both"/>
        <w:rPr>
          <w:rFonts w:ascii="Century Gothic" w:hAnsi="Century Gothic"/>
          <w:sz w:val="24"/>
          <w:szCs w:val="24"/>
        </w:rPr>
      </w:pPr>
      <w:r w:rsidRPr="003C6864">
        <w:rPr>
          <w:rFonts w:ascii="Century Gothic" w:hAnsi="Century Gothic"/>
          <w:sz w:val="24"/>
          <w:szCs w:val="24"/>
        </w:rPr>
        <w:t>There are a number of possible outcomes, positive or otherwise, that may emerge from the decision of the court in this case, especially on issues of maintenance of the estate’s facility, protection of lives and property of residents, and developmental projects as the dues and levies are meant for these purposes. Some of the envisaged consequences are as follows:</w:t>
      </w:r>
    </w:p>
    <w:p w:rsidR="00DE7155" w:rsidRDefault="00DE7155" w:rsidP="00DE7155">
      <w:pPr>
        <w:pStyle w:val="ListParagraph"/>
        <w:numPr>
          <w:ilvl w:val="0"/>
          <w:numId w:val="8"/>
        </w:numPr>
        <w:jc w:val="both"/>
        <w:rPr>
          <w:rFonts w:ascii="Century Gothic" w:hAnsi="Century Gothic"/>
          <w:sz w:val="24"/>
          <w:szCs w:val="24"/>
        </w:rPr>
      </w:pPr>
      <w:r w:rsidRPr="003C6864">
        <w:rPr>
          <w:rFonts w:ascii="Century Gothic" w:hAnsi="Century Gothic"/>
          <w:sz w:val="24"/>
          <w:szCs w:val="24"/>
        </w:rPr>
        <w:t>Due to the fact that mandating residents to be members of estate associations has been declared uncons</w:t>
      </w:r>
      <w:r>
        <w:rPr>
          <w:rFonts w:ascii="Century Gothic" w:hAnsi="Century Gothic"/>
          <w:sz w:val="24"/>
          <w:szCs w:val="24"/>
        </w:rPr>
        <w:t>titutional, it follows that the joining of such associations must be done voluntarily and that any member may freely disaffiliate from such an association. Thus,</w:t>
      </w:r>
      <w:r w:rsidRPr="003C6864">
        <w:rPr>
          <w:rFonts w:ascii="Century Gothic" w:hAnsi="Century Gothic"/>
          <w:sz w:val="24"/>
          <w:szCs w:val="24"/>
        </w:rPr>
        <w:t xml:space="preserve"> current members may not feel obliged to adhere to the regulations of the association anymore, and may actually withdraw their membership.</w:t>
      </w:r>
    </w:p>
    <w:p w:rsidR="00DE7155" w:rsidRPr="003C6864" w:rsidRDefault="00DE7155" w:rsidP="00DE7155">
      <w:pPr>
        <w:pStyle w:val="ListParagraph"/>
        <w:jc w:val="both"/>
        <w:rPr>
          <w:rFonts w:ascii="Century Gothic" w:hAnsi="Century Gothic"/>
          <w:sz w:val="24"/>
          <w:szCs w:val="24"/>
        </w:rPr>
      </w:pPr>
    </w:p>
    <w:p w:rsidR="00DE7155" w:rsidRPr="003C6864" w:rsidRDefault="00DE7155" w:rsidP="00DE7155">
      <w:pPr>
        <w:pStyle w:val="ListParagraph"/>
        <w:jc w:val="both"/>
        <w:rPr>
          <w:rFonts w:ascii="Century Gothic" w:hAnsi="Century Gothic"/>
          <w:sz w:val="24"/>
          <w:szCs w:val="24"/>
        </w:rPr>
      </w:pPr>
    </w:p>
    <w:p w:rsidR="00DE7155" w:rsidRPr="003C6864" w:rsidRDefault="00DE7155" w:rsidP="00DE7155">
      <w:pPr>
        <w:pStyle w:val="ListParagraph"/>
        <w:numPr>
          <w:ilvl w:val="0"/>
          <w:numId w:val="8"/>
        </w:numPr>
        <w:jc w:val="both"/>
        <w:rPr>
          <w:rFonts w:ascii="Century Gothic" w:hAnsi="Century Gothic"/>
          <w:sz w:val="24"/>
          <w:szCs w:val="24"/>
        </w:rPr>
      </w:pPr>
      <w:r w:rsidRPr="003C6864">
        <w:rPr>
          <w:rFonts w:ascii="Century Gothic" w:hAnsi="Century Gothic"/>
          <w:sz w:val="24"/>
          <w:szCs w:val="24"/>
        </w:rPr>
        <w:t>Consequently, dues and levies on residents for developmental and maintenance projects may</w:t>
      </w:r>
      <w:r>
        <w:rPr>
          <w:rFonts w:ascii="Century Gothic" w:hAnsi="Century Gothic"/>
          <w:sz w:val="24"/>
          <w:szCs w:val="24"/>
        </w:rPr>
        <w:t xml:space="preserve"> still be mandatory for members of Residents Association including the enforcement of sanctions for failure to make payments under the rule that members are bound by the customs of such association.</w:t>
      </w:r>
    </w:p>
    <w:p w:rsidR="00DE7155" w:rsidRPr="003C6864" w:rsidRDefault="00DE7155" w:rsidP="00DE7155">
      <w:pPr>
        <w:pStyle w:val="ListParagraph"/>
        <w:rPr>
          <w:rFonts w:ascii="Century Gothic" w:hAnsi="Century Gothic"/>
          <w:sz w:val="24"/>
          <w:szCs w:val="24"/>
        </w:rPr>
      </w:pPr>
    </w:p>
    <w:p w:rsidR="00DE7155" w:rsidRPr="00720BD2" w:rsidRDefault="00DE7155" w:rsidP="00DE7155">
      <w:pPr>
        <w:pStyle w:val="ListParagraph"/>
        <w:numPr>
          <w:ilvl w:val="0"/>
          <w:numId w:val="8"/>
        </w:numPr>
        <w:jc w:val="both"/>
        <w:rPr>
          <w:rFonts w:ascii="Century Gothic" w:hAnsi="Century Gothic"/>
          <w:sz w:val="24"/>
          <w:szCs w:val="24"/>
        </w:rPr>
      </w:pPr>
      <w:r w:rsidRPr="00720BD2">
        <w:rPr>
          <w:rFonts w:ascii="Century Gothic" w:hAnsi="Century Gothic"/>
          <w:sz w:val="24"/>
          <w:szCs w:val="24"/>
        </w:rPr>
        <w:t xml:space="preserve">Utility payments </w:t>
      </w:r>
      <w:r>
        <w:rPr>
          <w:rFonts w:ascii="Century Gothic" w:hAnsi="Century Gothic"/>
          <w:sz w:val="24"/>
          <w:szCs w:val="24"/>
        </w:rPr>
        <w:t xml:space="preserve">such as, waste management bills, </w:t>
      </w:r>
      <w:r w:rsidRPr="00720BD2">
        <w:rPr>
          <w:rFonts w:ascii="Century Gothic" w:hAnsi="Century Gothic"/>
          <w:sz w:val="24"/>
          <w:szCs w:val="24"/>
        </w:rPr>
        <w:t>will no longer be coordinated in groups, especially for residents who decide not to be members of the association. They will henceforth be individually responsible for their utility payments.</w:t>
      </w:r>
    </w:p>
    <w:p w:rsidR="00DE7155" w:rsidRPr="003C6864" w:rsidRDefault="00DE7155" w:rsidP="00DE7155">
      <w:pPr>
        <w:pStyle w:val="ListParagraph"/>
        <w:rPr>
          <w:rFonts w:ascii="Century Gothic" w:hAnsi="Century Gothic"/>
          <w:sz w:val="24"/>
          <w:szCs w:val="24"/>
        </w:rPr>
      </w:pPr>
    </w:p>
    <w:p w:rsidR="00DE7155" w:rsidRPr="003C6864" w:rsidRDefault="00DE7155" w:rsidP="00DE7155">
      <w:pPr>
        <w:pStyle w:val="ListParagraph"/>
        <w:numPr>
          <w:ilvl w:val="0"/>
          <w:numId w:val="8"/>
        </w:numPr>
        <w:jc w:val="both"/>
        <w:rPr>
          <w:rFonts w:ascii="Century Gothic" w:hAnsi="Century Gothic"/>
          <w:sz w:val="24"/>
          <w:szCs w:val="24"/>
        </w:rPr>
      </w:pPr>
      <w:r w:rsidRPr="003C6864">
        <w:rPr>
          <w:rFonts w:ascii="Century Gothic" w:hAnsi="Century Gothic"/>
          <w:sz w:val="24"/>
          <w:szCs w:val="24"/>
        </w:rPr>
        <w:t xml:space="preserve">Ultimately, maintenance of the estate and developmental projects may come to a halt, which may further inhibit the </w:t>
      </w:r>
      <w:r>
        <w:rPr>
          <w:rFonts w:ascii="Century Gothic" w:hAnsi="Century Gothic"/>
          <w:sz w:val="24"/>
          <w:szCs w:val="24"/>
        </w:rPr>
        <w:t xml:space="preserve">appreciation of the </w:t>
      </w:r>
      <w:r w:rsidRPr="003C6864">
        <w:rPr>
          <w:rFonts w:ascii="Century Gothic" w:hAnsi="Century Gothic"/>
          <w:sz w:val="24"/>
          <w:szCs w:val="24"/>
        </w:rPr>
        <w:t>value</w:t>
      </w:r>
      <w:r>
        <w:rPr>
          <w:rFonts w:ascii="Century Gothic" w:hAnsi="Century Gothic"/>
          <w:sz w:val="24"/>
          <w:szCs w:val="24"/>
        </w:rPr>
        <w:t xml:space="preserve"> of the estate</w:t>
      </w:r>
      <w:r w:rsidRPr="003C6864">
        <w:rPr>
          <w:rFonts w:ascii="Century Gothic" w:hAnsi="Century Gothic"/>
          <w:sz w:val="24"/>
          <w:szCs w:val="24"/>
        </w:rPr>
        <w:t xml:space="preserve">. </w:t>
      </w:r>
      <w:r>
        <w:rPr>
          <w:rFonts w:ascii="Century Gothic" w:hAnsi="Century Gothic"/>
          <w:sz w:val="24"/>
          <w:szCs w:val="24"/>
        </w:rPr>
        <w:t>This situation may however, be improved by the formation of a facility management body responsible for the long term maintenance of the estate and especially for shared facilities and services.</w:t>
      </w:r>
    </w:p>
    <w:p w:rsidR="00EC5F69" w:rsidRDefault="00EC5F69" w:rsidP="00EC5F69">
      <w:pPr>
        <w:jc w:val="both"/>
        <w:rPr>
          <w:rFonts w:ascii="Century Gothic" w:eastAsia="Century Gothic" w:hAnsi="Century Gothic" w:cs="Century Gothic"/>
        </w:rPr>
      </w:pPr>
    </w:p>
    <w:p w:rsidR="00EC5F69" w:rsidRDefault="00EC5F69" w:rsidP="00EC5F69">
      <w:pPr>
        <w:jc w:val="both"/>
        <w:rPr>
          <w:rFonts w:ascii="Century Gothic" w:eastAsia="Century Gothic" w:hAnsi="Century Gothic" w:cs="Century Gothic"/>
          <w:i/>
          <w:color w:val="444444"/>
          <w:shd w:val="clear" w:color="auto" w:fill="F9F9F9"/>
        </w:rPr>
      </w:pPr>
      <w:r>
        <w:rPr>
          <w:rFonts w:ascii="Century Gothic" w:eastAsia="Century Gothic" w:hAnsi="Century Gothic" w:cs="Century Gothic"/>
          <w:i/>
          <w:color w:val="444444"/>
          <w:shd w:val="clear" w:color="auto" w:fill="F9F9F9"/>
        </w:rPr>
        <w:t xml:space="preserve">For more information please </w:t>
      </w:r>
      <w:r>
        <w:rPr>
          <w:rFonts w:ascii="Century Gothic" w:eastAsia="Century Gothic" w:hAnsi="Century Gothic" w:cs="Century Gothic"/>
          <w:i/>
        </w:rPr>
        <w:t>contact:</w:t>
      </w:r>
    </w:p>
    <w:p w:rsidR="00EC5F69" w:rsidRDefault="00EC5F69" w:rsidP="00EC5F69">
      <w:pPr>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Blackwood &amp; Stone LP</w:t>
      </w:r>
    </w:p>
    <w:p w:rsidR="00EC5F69" w:rsidRDefault="00EC5F69" w:rsidP="00EC5F69">
      <w:pPr>
        <w:jc w:val="both"/>
        <w:rPr>
          <w:rFonts w:ascii="Century Gothic" w:eastAsia="Century Gothic" w:hAnsi="Century Gothic" w:cs="Century Gothic"/>
          <w:i/>
          <w:sz w:val="24"/>
          <w:szCs w:val="24"/>
        </w:rPr>
      </w:pPr>
      <w:hyperlink r:id="rId6">
        <w:r>
          <w:rPr>
            <w:rFonts w:ascii="Century Gothic" w:eastAsia="Century Gothic" w:hAnsi="Century Gothic" w:cs="Century Gothic"/>
            <w:i/>
            <w:color w:val="0563C1"/>
            <w:sz w:val="24"/>
            <w:szCs w:val="24"/>
            <w:u w:val="single"/>
          </w:rPr>
          <w:t>info@blackwoodstone.com</w:t>
        </w:r>
      </w:hyperlink>
    </w:p>
    <w:p w:rsidR="00EC5F69" w:rsidRDefault="00EC5F69" w:rsidP="00EC5F69">
      <w:pPr>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+234 903 3501 613</w:t>
      </w:r>
    </w:p>
    <w:p w:rsidR="00EC5F69" w:rsidRDefault="00EC5F69" w:rsidP="00EC5F69">
      <w:pPr>
        <w:jc w:val="both"/>
      </w:pPr>
    </w:p>
    <w:p w:rsidR="00EC5F69" w:rsidRDefault="00EC5F69" w:rsidP="00EC5F69">
      <w:pPr>
        <w:jc w:val="both"/>
      </w:pPr>
    </w:p>
    <w:p w:rsidR="00B6467C" w:rsidRDefault="00B6467C"/>
    <w:sectPr w:rsidR="00B6467C" w:rsidSect="00E847DD">
      <w:headerReference w:type="default" r:id="rId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0110"/>
      <w:docPartObj>
        <w:docPartGallery w:val="Watermarks"/>
        <w:docPartUnique/>
      </w:docPartObj>
    </w:sdtPr>
    <w:sdtEndPr/>
    <w:sdtContent>
      <w:p w:rsidR="00D146F8" w:rsidRDefault="00DE7155">
        <w:pPr>
          <w:pStyle w:val="Header"/>
        </w:pPr>
        <w:r>
          <w:rPr>
            <w:noProof/>
            <w:lang w:val="en-GB" w:eastAsia="en-GB"/>
          </w:rPr>
          <w:drawing>
            <wp:anchor distT="0" distB="0" distL="114300" distR="114300" simplePos="0" relativeHeight="251659264" behindDoc="1" locked="0" layoutInCell="1" allowOverlap="1" wp14:anchorId="20343085" wp14:editId="0D36231B">
              <wp:simplePos x="0" y="0"/>
              <wp:positionH relativeFrom="column">
                <wp:posOffset>-927100</wp:posOffset>
              </wp:positionH>
              <wp:positionV relativeFrom="paragraph">
                <wp:posOffset>-508635</wp:posOffset>
              </wp:positionV>
              <wp:extent cx="7804785" cy="11058525"/>
              <wp:effectExtent l="0" t="0" r="0" b="0"/>
              <wp:wrapNone/>
              <wp:docPr id="1" name="Picture 1" descr="s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1105852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D91"/>
    <w:multiLevelType w:val="multilevel"/>
    <w:tmpl w:val="454E34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5BC013F"/>
    <w:multiLevelType w:val="hybridMultilevel"/>
    <w:tmpl w:val="A3F0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467F2"/>
    <w:multiLevelType w:val="multilevel"/>
    <w:tmpl w:val="14008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F557C9"/>
    <w:multiLevelType w:val="multilevel"/>
    <w:tmpl w:val="E3DC1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541D0A"/>
    <w:multiLevelType w:val="multilevel"/>
    <w:tmpl w:val="79FC58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50F0575B"/>
    <w:multiLevelType w:val="hybridMultilevel"/>
    <w:tmpl w:val="EB2A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21320"/>
    <w:multiLevelType w:val="multilevel"/>
    <w:tmpl w:val="E1B0C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F45C17"/>
    <w:multiLevelType w:val="multilevel"/>
    <w:tmpl w:val="2C0AE8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7"/>
  </w:num>
  <w:num w:numId="3">
    <w:abstractNumId w:val="3"/>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9"/>
    <w:rsid w:val="000C721C"/>
    <w:rsid w:val="008D4DBF"/>
    <w:rsid w:val="00996619"/>
    <w:rsid w:val="00B6467C"/>
    <w:rsid w:val="00DE7155"/>
    <w:rsid w:val="00EC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D1BD2-5E41-48C3-9388-376D279D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69"/>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69"/>
    <w:rPr>
      <w:lang w:val="en-US"/>
    </w:rPr>
  </w:style>
  <w:style w:type="paragraph" w:styleId="ListParagraph">
    <w:name w:val="List Paragraph"/>
    <w:basedOn w:val="Normal"/>
    <w:uiPriority w:val="34"/>
    <w:qFormat/>
    <w:rsid w:val="00DE715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lackwoodston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2021-01-05T15:05:00Z</dcterms:created>
  <dcterms:modified xsi:type="dcterms:W3CDTF">2021-01-05T15:22:00Z</dcterms:modified>
</cp:coreProperties>
</file>